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4299A" w:rsidRPr="00F4299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Дизайн архітектурного середовища</w:t>
            </w:r>
          </w:p>
          <w:p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F4299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4299A" w:rsidRPr="00F4299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Булах Ірина Валеріївна</w:t>
            </w:r>
          </w:p>
          <w:p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4299A" w:rsidRPr="00F4299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професор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F4299A" w:rsidRPr="00F4299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01/09/2007</w:t>
            </w:r>
          </w:p>
          <w:p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262AD7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0941BE" w:rsidRPr="00262AD7" w:rsidRDefault="000941BE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I.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Ecological Park ‒ A Step </w:t>
            </w:r>
            <w:proofErr w:type="gramStart"/>
            <w:r w:rsidRPr="00262AD7">
              <w:rPr>
                <w:rStyle w:val="rvts82"/>
                <w:iCs/>
                <w:sz w:val="24"/>
                <w:szCs w:val="24"/>
              </w:rPr>
              <w:t>Toward</w:t>
            </w:r>
            <w:proofErr w:type="gramEnd"/>
            <w:r w:rsidRPr="00262AD7">
              <w:rPr>
                <w:rStyle w:val="rvts82"/>
                <w:iCs/>
                <w:sz w:val="24"/>
                <w:szCs w:val="24"/>
              </w:rPr>
              <w:t xml:space="preserve"> Sustainable Development. 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 xml:space="preserve">Recent Advances in Environmental Science from the Euro-Mediterranean and Surrounding Regions. </w:t>
            </w:r>
            <w:r w:rsidRPr="00262AD7">
              <w:rPr>
                <w:rStyle w:val="rvts82"/>
                <w:iCs/>
                <w:sz w:val="24"/>
                <w:szCs w:val="24"/>
              </w:rPr>
              <w:t>2024. Edition 4th.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P. 599–601. (Scopus) </w:t>
            </w:r>
            <w:hyperlink r:id="rId7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https://doi.org/10.1007/978-3-031-51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9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04-8_133</w:t>
              </w:r>
            </w:hyperlink>
            <w:r w:rsidR="00BB393E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hyperlink r:id="rId8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https://link.springer.com/chapter/10.1007/978-3-031-51904-8_133</w:t>
              </w:r>
            </w:hyperlink>
            <w:r w:rsidRPr="00262AD7">
              <w:rPr>
                <w:rStyle w:val="rvts82"/>
                <w:iCs/>
                <w:sz w:val="24"/>
                <w:szCs w:val="24"/>
              </w:rPr>
              <w:t xml:space="preserve"> (</w:t>
            </w:r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855E7F" w:rsidRPr="00262AD7" w:rsidRDefault="000941BE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I.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Timokhin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V.,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Kovalska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G.,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Merylova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I.,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Tretiak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Y. The use of various materials in the formation of the urban environment as a phenomenon of architectural aesthetics. 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>AIP Conference Proceedings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. </w:t>
            </w:r>
            <w:r w:rsidR="00855E7F" w:rsidRPr="00262AD7">
              <w:rPr>
                <w:rStyle w:val="rvts82"/>
                <w:iCs/>
                <w:sz w:val="24"/>
                <w:szCs w:val="24"/>
              </w:rPr>
              <w:t>2023. Vol. 2490(1). P.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060007. (Scopus) </w:t>
            </w:r>
            <w:hyperlink r:id="rId9" w:history="1">
              <w:r w:rsidR="00855E7F" w:rsidRPr="00262AD7">
                <w:rPr>
                  <w:rStyle w:val="a3"/>
                  <w:iCs/>
                  <w:sz w:val="24"/>
                  <w:szCs w:val="24"/>
                </w:rPr>
                <w:t>https://doi.org/10.106</w:t>
              </w:r>
              <w:r w:rsidR="00855E7F" w:rsidRPr="00262AD7">
                <w:rPr>
                  <w:rStyle w:val="a3"/>
                  <w:iCs/>
                  <w:sz w:val="24"/>
                  <w:szCs w:val="24"/>
                </w:rPr>
                <w:t>3</w:t>
              </w:r>
              <w:r w:rsidR="00855E7F" w:rsidRPr="00262AD7">
                <w:rPr>
                  <w:rStyle w:val="a3"/>
                  <w:iCs/>
                  <w:sz w:val="24"/>
                  <w:szCs w:val="24"/>
                </w:rPr>
                <w:t>/5.0122747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="00855E7F"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hyperlink r:id="rId10" w:history="1">
              <w:r w:rsidR="00855E7F" w:rsidRPr="00262AD7">
                <w:rPr>
                  <w:rStyle w:val="a3"/>
                  <w:iCs/>
                  <w:sz w:val="24"/>
                  <w:szCs w:val="24"/>
                </w:rPr>
                <w:t>https://pubs.aip.org/aip/acp/article/2490/1/060007/2928279/The-use-of-various-materials-in-the-formation-of</w:t>
              </w:r>
            </w:hyperlink>
            <w:r w:rsidR="00855E7F" w:rsidRPr="00262AD7">
              <w:rPr>
                <w:rStyle w:val="rvts82"/>
                <w:iCs/>
                <w:sz w:val="24"/>
                <w:szCs w:val="24"/>
              </w:rPr>
              <w:t xml:space="preserve"> (</w:t>
            </w:r>
            <w:r w:rsidR="00855E7F"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="00855E7F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="00855E7F"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="00855E7F"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855E7F" w:rsidRPr="00262AD7" w:rsidRDefault="00855E7F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Merylova</w:t>
            </w:r>
            <w:proofErr w:type="spellEnd"/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I., </w:t>
            </w:r>
            <w:proofErr w:type="spellStart"/>
            <w:r w:rsidR="000941BE" w:rsidRPr="00A06D5D">
              <w:rPr>
                <w:rStyle w:val="rvts82"/>
                <w:b/>
                <w:iCs/>
                <w:sz w:val="24"/>
                <w:szCs w:val="24"/>
              </w:rPr>
              <w:t>B</w:t>
            </w:r>
            <w:r w:rsidRPr="00A06D5D">
              <w:rPr>
                <w:rStyle w:val="rvts82"/>
                <w:b/>
                <w:iCs/>
                <w:sz w:val="24"/>
                <w:szCs w:val="24"/>
              </w:rPr>
              <w:t>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. 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Ecological transformation of industrial regions: Recreation system by the example of the </w:t>
            </w:r>
            <w:proofErr w:type="spellStart"/>
            <w:r w:rsidR="000941BE" w:rsidRPr="00262AD7">
              <w:rPr>
                <w:rStyle w:val="rvts82"/>
                <w:iCs/>
                <w:sz w:val="24"/>
                <w:szCs w:val="24"/>
              </w:rPr>
              <w:t>Emscher</w:t>
            </w:r>
            <w:proofErr w:type="spellEnd"/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Landscape Park.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>AIP Conference Proceedings</w:t>
            </w:r>
            <w:r w:rsidRPr="00262AD7">
              <w:rPr>
                <w:rStyle w:val="rvts82"/>
                <w:iCs/>
                <w:sz w:val="24"/>
                <w:szCs w:val="24"/>
              </w:rPr>
              <w:t>. 2023. Vol. 2490(1). P.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070002. (Scopus) </w:t>
            </w:r>
            <w:hyperlink r:id="rId11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https://doi.or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g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/10.1063/5.0122860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r w:rsidRPr="00262AD7">
              <w:t xml:space="preserve"> </w:t>
            </w:r>
            <w:hyperlink r:id="rId12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https://pubs.aip.org/aip/acp/article/2490/1/070002/2928302/Ecological-transformation-of-industrial-regions</w:t>
              </w:r>
            </w:hyperlink>
            <w:r w:rsidRPr="00262AD7">
              <w:rPr>
                <w:rStyle w:val="rvts82"/>
                <w:iCs/>
                <w:sz w:val="24"/>
                <w:szCs w:val="24"/>
              </w:rPr>
              <w:t xml:space="preserve"> (</w:t>
            </w:r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855E7F" w:rsidRPr="00262AD7" w:rsidRDefault="00855E7F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a3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I.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Obynochna</w:t>
            </w:r>
            <w:proofErr w:type="spellEnd"/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Z. Principles and techniques of architectural and planning organization of mother and child shelters. </w:t>
            </w:r>
            <w:r w:rsidR="000941BE" w:rsidRPr="00262AD7">
              <w:rPr>
                <w:rStyle w:val="rvts82"/>
                <w:i/>
                <w:iCs/>
                <w:sz w:val="24"/>
                <w:szCs w:val="24"/>
              </w:rPr>
              <w:t>AIP Conference Proceedings</w:t>
            </w:r>
            <w:r w:rsidRPr="00262AD7">
              <w:rPr>
                <w:rStyle w:val="rvts82"/>
                <w:iCs/>
                <w:sz w:val="24"/>
                <w:szCs w:val="24"/>
              </w:rPr>
              <w:t>. 2023. Vol. 2490(1). P.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060006. (Scopus) </w:t>
            </w:r>
            <w:hyperlink r:id="rId13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https://doi.org/10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.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1063/5.0122749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r w:rsidRPr="00262AD7">
              <w:t xml:space="preserve">  </w:t>
            </w:r>
            <w:hyperlink r:id="rId14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https://pubs.aip.org/aip/acp/article/2490/1/060006/2928252/Principles-and-techniques-of-architectural-and</w:t>
              </w:r>
            </w:hyperlink>
            <w:r w:rsidRPr="00262AD7">
              <w:rPr>
                <w:rStyle w:val="a3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>(</w:t>
            </w:r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D11234" w:rsidRPr="00262AD7" w:rsidRDefault="00855E7F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Abyzov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V., </w:t>
            </w: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Ustinova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I.,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Safronova</w:t>
            </w:r>
            <w:proofErr w:type="spellEnd"/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O., </w:t>
            </w:r>
            <w:proofErr w:type="spellStart"/>
            <w:r w:rsidR="000941BE" w:rsidRPr="00262AD7">
              <w:rPr>
                <w:rStyle w:val="rvts82"/>
                <w:iCs/>
                <w:sz w:val="24"/>
                <w:szCs w:val="24"/>
              </w:rPr>
              <w:t>Safro</w:t>
            </w:r>
            <w:r w:rsidRPr="00262AD7">
              <w:rPr>
                <w:rStyle w:val="rvts82"/>
                <w:iCs/>
                <w:sz w:val="24"/>
                <w:szCs w:val="24"/>
              </w:rPr>
              <w:t>nov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V.,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Semyroz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N. 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Sustainable Design in Architecture (The Case Study of the Educational Process at Universit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ies in Poland and Ukraine). </w:t>
            </w:r>
            <w:r w:rsidR="000941BE" w:rsidRPr="00262AD7">
              <w:rPr>
                <w:rStyle w:val="rvts82"/>
                <w:i/>
                <w:iCs/>
                <w:sz w:val="24"/>
                <w:szCs w:val="24"/>
              </w:rPr>
              <w:t>Civ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>il Engineering and Architecture</w:t>
            </w:r>
            <w:r w:rsidRPr="00262AD7">
              <w:rPr>
                <w:rStyle w:val="rvts82"/>
                <w:iCs/>
                <w:sz w:val="24"/>
                <w:szCs w:val="24"/>
              </w:rPr>
              <w:t>. 2023.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lastRenderedPageBreak/>
              <w:t>Vol. 11(3). P.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1255</w:t>
            </w:r>
            <w:r w:rsidR="00262AD7" w:rsidRPr="00262AD7">
              <w:rPr>
                <w:rStyle w:val="rvts82"/>
                <w:iCs/>
                <w:sz w:val="24"/>
                <w:szCs w:val="24"/>
              </w:rPr>
              <w:t>–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1266. (Scopus) </w:t>
            </w:r>
            <w:hyperlink r:id="rId15" w:history="1">
              <w:r w:rsidR="00D11234" w:rsidRPr="00262AD7">
                <w:rPr>
                  <w:rStyle w:val="a3"/>
                  <w:iCs/>
                  <w:sz w:val="24"/>
                  <w:szCs w:val="24"/>
                </w:rPr>
                <w:t>https://doi.org/10.</w:t>
              </w:r>
              <w:r w:rsidR="00D11234" w:rsidRPr="00262AD7">
                <w:rPr>
                  <w:rStyle w:val="a3"/>
                  <w:iCs/>
                  <w:sz w:val="24"/>
                  <w:szCs w:val="24"/>
                </w:rPr>
                <w:t>1</w:t>
              </w:r>
              <w:r w:rsidR="00D11234" w:rsidRPr="00262AD7">
                <w:rPr>
                  <w:rStyle w:val="a3"/>
                  <w:iCs/>
                  <w:sz w:val="24"/>
                  <w:szCs w:val="24"/>
                </w:rPr>
                <w:t>3189/cea.2023.110311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r w:rsidR="00D11234" w:rsidRPr="00262AD7">
              <w:t xml:space="preserve">   </w:t>
            </w:r>
            <w:hyperlink r:id="rId16" w:history="1">
              <w:r w:rsidR="00D11234" w:rsidRPr="00262AD7">
                <w:rPr>
                  <w:rStyle w:val="a3"/>
                  <w:iCs/>
                  <w:sz w:val="24"/>
                  <w:szCs w:val="24"/>
                </w:rPr>
                <w:t>https://www.hrpub.org/journals/article_info.php?aid=13017</w:t>
              </w:r>
            </w:hyperlink>
            <w:r w:rsidR="00D11234" w:rsidRPr="00262AD7">
              <w:rPr>
                <w:rStyle w:val="a3"/>
                <w:iCs/>
                <w:sz w:val="24"/>
                <w:szCs w:val="24"/>
                <w:u w:val="none"/>
              </w:rPr>
              <w:t xml:space="preserve"> 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>(</w:t>
            </w:r>
            <w:r w:rsidR="00D11234"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="00D11234"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D11234" w:rsidRPr="00262AD7" w:rsidRDefault="000941BE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. The Architecture of Medical and Health Research Buildings and Complexes as </w:t>
            </w:r>
            <w:proofErr w:type="gramStart"/>
            <w:r w:rsidRPr="00262AD7">
              <w:rPr>
                <w:rStyle w:val="rvts82"/>
                <w:iCs/>
                <w:sz w:val="24"/>
                <w:szCs w:val="24"/>
              </w:rPr>
              <w:t>The</w:t>
            </w:r>
            <w:proofErr w:type="gramEnd"/>
            <w:r w:rsidRPr="00262AD7">
              <w:rPr>
                <w:rStyle w:val="rvts82"/>
                <w:iCs/>
                <w:sz w:val="24"/>
                <w:szCs w:val="24"/>
              </w:rPr>
              <w:t xml:space="preserve"> Basis of Sustainable Development. 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 xml:space="preserve">IOP Conference Series: </w:t>
            </w:r>
            <w:r w:rsidR="00D11234" w:rsidRPr="00262AD7">
              <w:rPr>
                <w:rStyle w:val="rvts82"/>
                <w:i/>
                <w:iCs/>
                <w:sz w:val="24"/>
                <w:szCs w:val="24"/>
              </w:rPr>
              <w:t>Earth and Environmental Science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>. 2023. Vol. 1275(1). P.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012042. (Scopus) </w:t>
            </w:r>
            <w:hyperlink r:id="rId17" w:history="1">
              <w:r w:rsidR="00D11234" w:rsidRPr="00262AD7">
                <w:rPr>
                  <w:rStyle w:val="a3"/>
                  <w:iCs/>
                  <w:sz w:val="24"/>
                  <w:szCs w:val="24"/>
                </w:rPr>
                <w:t>https://doi.org/1</w:t>
              </w:r>
              <w:r w:rsidR="00D11234" w:rsidRPr="00262AD7">
                <w:rPr>
                  <w:rStyle w:val="a3"/>
                  <w:iCs/>
                  <w:sz w:val="24"/>
                  <w:szCs w:val="24"/>
                </w:rPr>
                <w:t>0</w:t>
              </w:r>
              <w:r w:rsidR="00D11234" w:rsidRPr="00262AD7">
                <w:rPr>
                  <w:rStyle w:val="a3"/>
                  <w:iCs/>
                  <w:sz w:val="24"/>
                  <w:szCs w:val="24"/>
                </w:rPr>
                <w:t>.1088/1755-1315/1275/1/012042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r w:rsidR="00D11234" w:rsidRPr="00262AD7">
              <w:t xml:space="preserve">    </w:t>
            </w:r>
            <w:hyperlink r:id="rId18" w:history="1">
              <w:r w:rsidR="00D11234" w:rsidRPr="00262AD7">
                <w:rPr>
                  <w:rStyle w:val="a3"/>
                  <w:iCs/>
                  <w:sz w:val="24"/>
                  <w:szCs w:val="24"/>
                </w:rPr>
                <w:t>https://iopscience.iop.org/article/10.1088/1755-1315/1275/1/012042</w:t>
              </w:r>
            </w:hyperlink>
            <w:r w:rsidR="00D11234" w:rsidRPr="00262AD7">
              <w:rPr>
                <w:rStyle w:val="a3"/>
                <w:iCs/>
                <w:sz w:val="24"/>
                <w:szCs w:val="24"/>
                <w:u w:val="none"/>
              </w:rPr>
              <w:t xml:space="preserve"> 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>(</w:t>
            </w:r>
            <w:r w:rsidR="00D11234"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="00D11234"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="00D11234"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D11234" w:rsidRPr="00262AD7" w:rsidRDefault="00D11234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 w:rsidRPr="00262AD7">
              <w:rPr>
                <w:rStyle w:val="rvts82"/>
                <w:iCs/>
                <w:sz w:val="24"/>
                <w:szCs w:val="24"/>
              </w:rPr>
              <w:t>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Sustainable Development in the Context of the Architecture of Environmental Friendly Medical Centers in Rura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l Areas (Case for Ukraine). </w:t>
            </w:r>
            <w:r w:rsidR="000941BE" w:rsidRPr="00262AD7">
              <w:rPr>
                <w:rStyle w:val="rvts82"/>
                <w:i/>
                <w:iCs/>
                <w:sz w:val="24"/>
                <w:szCs w:val="24"/>
              </w:rPr>
              <w:t xml:space="preserve">IOP Conf. Series: 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>Earth and Environmental Science</w:t>
            </w:r>
            <w:r w:rsidRPr="00262AD7">
              <w:rPr>
                <w:rStyle w:val="rvts82"/>
                <w:iCs/>
                <w:sz w:val="24"/>
                <w:szCs w:val="24"/>
              </w:rPr>
              <w:t>. 2022. Vol. 1111. P.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012066. (Scopus) </w:t>
            </w:r>
            <w:hyperlink r:id="rId19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https://doi.org/10.10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8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8/1755-1315/1111/1/012066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r w:rsidRPr="00262AD7">
              <w:t xml:space="preserve">     </w:t>
            </w:r>
            <w:hyperlink r:id="rId20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https://iopscience.iop.org/article/10.1088/1755-1315/1111/1/012066</w:t>
              </w:r>
            </w:hyperlink>
            <w:r w:rsidRPr="00262AD7">
              <w:rPr>
                <w:rStyle w:val="a3"/>
                <w:iCs/>
                <w:sz w:val="24"/>
                <w:szCs w:val="24"/>
                <w:u w:val="none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>(</w:t>
            </w:r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D11234" w:rsidRPr="00262AD7" w:rsidRDefault="00D11234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Adeyeye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K.,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Bulakh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V.,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Obynochna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Z.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Systematization of Sustainable Urbanized Landscapes for Hap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piness and Quality of Life. </w:t>
            </w:r>
            <w:r w:rsidR="000941BE" w:rsidRPr="00262AD7">
              <w:rPr>
                <w:rStyle w:val="rvts82"/>
                <w:i/>
                <w:iCs/>
                <w:sz w:val="24"/>
                <w:szCs w:val="24"/>
              </w:rPr>
              <w:t>Civ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>il Engineering and Architecture</w:t>
            </w:r>
            <w:r w:rsidRPr="00262AD7">
              <w:rPr>
                <w:rStyle w:val="rvts82"/>
                <w:iCs/>
                <w:sz w:val="24"/>
                <w:szCs w:val="24"/>
              </w:rPr>
              <w:t>. 2022. Vol. 10(7). P.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2901</w:t>
            </w:r>
            <w:r w:rsidR="00262AD7" w:rsidRPr="00262AD7">
              <w:rPr>
                <w:rStyle w:val="rvts82"/>
                <w:iCs/>
                <w:sz w:val="24"/>
                <w:szCs w:val="24"/>
              </w:rPr>
              <w:t>–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2920. (Scopus) </w:t>
            </w:r>
            <w:hyperlink r:id="rId21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https://doi.org/10.1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3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189/cea.2022.100710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URL: </w:t>
            </w:r>
            <w:r w:rsidRPr="00262AD7">
              <w:t xml:space="preserve">      </w:t>
            </w:r>
            <w:hyperlink r:id="rId22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https://www.hrpub.org/journals/article_info.php?aid=12567</w:t>
              </w:r>
            </w:hyperlink>
            <w:r w:rsidRPr="00262AD7">
              <w:rPr>
                <w:rStyle w:val="a3"/>
                <w:iCs/>
                <w:sz w:val="24"/>
                <w:szCs w:val="24"/>
                <w:u w:val="none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>(</w:t>
            </w:r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D11234" w:rsidRPr="00262AD7" w:rsidRDefault="00D11234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Semyroz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N.,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Kysil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S.,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Bulhakova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T.,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Mezhenna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N.,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Abyzov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V.,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Zymina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S.,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</w:rPr>
              <w:t>Bulakh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V. 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>Architecture of Air Tra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nsport Medicine Facilities. </w:t>
            </w:r>
            <w:r w:rsidR="000941BE" w:rsidRPr="00262AD7">
              <w:rPr>
                <w:rStyle w:val="rvts82"/>
                <w:i/>
                <w:iCs/>
                <w:sz w:val="24"/>
                <w:szCs w:val="24"/>
              </w:rPr>
              <w:t>Civil Engineering and Archite</w:t>
            </w:r>
            <w:r w:rsidRPr="00262AD7">
              <w:rPr>
                <w:rStyle w:val="rvts82"/>
                <w:i/>
                <w:iCs/>
                <w:sz w:val="24"/>
                <w:szCs w:val="24"/>
              </w:rPr>
              <w:t>cture</w:t>
            </w:r>
            <w:r w:rsidRPr="00262AD7">
              <w:rPr>
                <w:rStyle w:val="rvts82"/>
                <w:iCs/>
                <w:sz w:val="24"/>
                <w:szCs w:val="24"/>
              </w:rPr>
              <w:t>. 2022. Vol. 10(5). P.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 1840</w:t>
            </w:r>
            <w:r w:rsidR="00262AD7" w:rsidRPr="00262AD7">
              <w:rPr>
                <w:rStyle w:val="rvts82"/>
                <w:iCs/>
                <w:sz w:val="24"/>
                <w:szCs w:val="24"/>
              </w:rPr>
              <w:t>–</w:t>
            </w:r>
            <w:r w:rsidR="000941BE" w:rsidRPr="00262AD7">
              <w:rPr>
                <w:rStyle w:val="rvts82"/>
                <w:iCs/>
                <w:sz w:val="24"/>
                <w:szCs w:val="24"/>
              </w:rPr>
              <w:t xml:space="preserve">1853. (Scopus) </w:t>
            </w:r>
            <w:hyperlink r:id="rId23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https://doi.org/10.13189/cea.2022.1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0</w:t>
              </w:r>
              <w:r w:rsidRPr="00262AD7">
                <w:rPr>
                  <w:rStyle w:val="a3"/>
                  <w:iCs/>
                  <w:sz w:val="24"/>
                  <w:szCs w:val="24"/>
                </w:rPr>
                <w:t>0511</w:t>
              </w:r>
            </w:hyperlink>
            <w:r w:rsidRPr="00262AD7">
              <w:rPr>
                <w:rStyle w:val="rvts82"/>
                <w:iCs/>
                <w:sz w:val="24"/>
                <w:szCs w:val="24"/>
              </w:rPr>
              <w:t xml:space="preserve"> URL: </w:t>
            </w:r>
            <w:r w:rsidRPr="00262AD7">
              <w:t xml:space="preserve">      </w:t>
            </w:r>
            <w:hyperlink r:id="rId24" w:history="1">
              <w:r w:rsidRPr="00262AD7">
                <w:rPr>
                  <w:rStyle w:val="a3"/>
                  <w:iCs/>
                  <w:sz w:val="24"/>
                  <w:szCs w:val="24"/>
                </w:rPr>
                <w:t>https://www.hrpub.org/journals/article_info.php?aid=12193</w:t>
              </w:r>
            </w:hyperlink>
            <w:r w:rsidRPr="00262AD7">
              <w:rPr>
                <w:rStyle w:val="a3"/>
                <w:iCs/>
                <w:sz w:val="24"/>
                <w:szCs w:val="24"/>
                <w:u w:val="none"/>
              </w:rPr>
              <w:t xml:space="preserve"> </w:t>
            </w:r>
            <w:r w:rsidRPr="00262AD7">
              <w:rPr>
                <w:rStyle w:val="rvts82"/>
                <w:iCs/>
                <w:sz w:val="24"/>
                <w:szCs w:val="24"/>
              </w:rPr>
              <w:t>(</w:t>
            </w:r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Pr="00262AD7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  <w:p w:rsidR="00A071E1" w:rsidRPr="00262AD7" w:rsidRDefault="00D11234" w:rsidP="00262AD7">
            <w:pPr>
              <w:pStyle w:val="1"/>
              <w:numPr>
                <w:ilvl w:val="0"/>
                <w:numId w:val="11"/>
              </w:numPr>
              <w:ind w:left="601" w:right="0" w:hanging="425"/>
              <w:jc w:val="left"/>
              <w:rPr>
                <w:rStyle w:val="rvts82"/>
                <w:iCs/>
                <w:sz w:val="24"/>
                <w:szCs w:val="24"/>
              </w:rPr>
            </w:pPr>
            <w:proofErr w:type="spellStart"/>
            <w:r w:rsidRPr="00A06D5D">
              <w:rPr>
                <w:rStyle w:val="rvts82"/>
                <w:b/>
                <w:iCs/>
                <w:sz w:val="24"/>
                <w:szCs w:val="24"/>
              </w:rPr>
              <w:t>Bulakh</w:t>
            </w:r>
            <w:proofErr w:type="spellEnd"/>
            <w:r w:rsidRPr="00A06D5D">
              <w:rPr>
                <w:rStyle w:val="rvts82"/>
                <w:b/>
                <w:iCs/>
                <w:sz w:val="24"/>
                <w:szCs w:val="24"/>
              </w:rPr>
              <w:t xml:space="preserve"> I</w:t>
            </w:r>
            <w:r>
              <w:rPr>
                <w:rStyle w:val="rvts82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Style w:val="rvts82"/>
                <w:iCs/>
                <w:sz w:val="24"/>
                <w:szCs w:val="24"/>
              </w:rPr>
              <w:t>Kashchenko</w:t>
            </w:r>
            <w:proofErr w:type="spellEnd"/>
            <w:r>
              <w:rPr>
                <w:rStyle w:val="rvts82"/>
                <w:iCs/>
                <w:sz w:val="24"/>
                <w:szCs w:val="24"/>
              </w:rPr>
              <w:t xml:space="preserve"> T., </w:t>
            </w:r>
            <w:proofErr w:type="spellStart"/>
            <w:r>
              <w:rPr>
                <w:rStyle w:val="rvts82"/>
                <w:iCs/>
                <w:sz w:val="24"/>
                <w:szCs w:val="24"/>
              </w:rPr>
              <w:t>Harbar</w:t>
            </w:r>
            <w:proofErr w:type="spellEnd"/>
            <w:r>
              <w:rPr>
                <w:rStyle w:val="rvts82"/>
                <w:iCs/>
                <w:sz w:val="24"/>
                <w:szCs w:val="24"/>
              </w:rPr>
              <w:t xml:space="preserve"> M., </w:t>
            </w:r>
            <w:proofErr w:type="spellStart"/>
            <w:r>
              <w:rPr>
                <w:rStyle w:val="rvts82"/>
                <w:iCs/>
                <w:sz w:val="24"/>
                <w:szCs w:val="24"/>
              </w:rPr>
              <w:t>Praslova</w:t>
            </w:r>
            <w:proofErr w:type="spellEnd"/>
            <w:r>
              <w:rPr>
                <w:rStyle w:val="rvts82"/>
                <w:iCs/>
                <w:sz w:val="24"/>
                <w:szCs w:val="24"/>
              </w:rPr>
              <w:t xml:space="preserve"> V., </w:t>
            </w:r>
            <w:proofErr w:type="spellStart"/>
            <w:r>
              <w:rPr>
                <w:rStyle w:val="rvts82"/>
                <w:iCs/>
                <w:sz w:val="24"/>
                <w:szCs w:val="24"/>
              </w:rPr>
              <w:t>Riabets</w:t>
            </w:r>
            <w:proofErr w:type="spellEnd"/>
            <w:r>
              <w:rPr>
                <w:rStyle w:val="rvts82"/>
                <w:iCs/>
                <w:sz w:val="24"/>
                <w:szCs w:val="24"/>
              </w:rPr>
              <w:t xml:space="preserve"> Yu., </w:t>
            </w:r>
            <w:proofErr w:type="spellStart"/>
            <w:r>
              <w:rPr>
                <w:rStyle w:val="rvts82"/>
                <w:iCs/>
                <w:sz w:val="24"/>
                <w:szCs w:val="24"/>
              </w:rPr>
              <w:t>Divak</w:t>
            </w:r>
            <w:proofErr w:type="spellEnd"/>
            <w:r w:rsidR="00BB393E">
              <w:rPr>
                <w:rStyle w:val="rvts82"/>
                <w:iCs/>
                <w:sz w:val="24"/>
                <w:szCs w:val="24"/>
              </w:rPr>
              <w:t xml:space="preserve"> V. </w:t>
            </w:r>
            <w:r w:rsidRPr="00D11234">
              <w:rPr>
                <w:rStyle w:val="rvts82"/>
                <w:iCs/>
                <w:sz w:val="24"/>
                <w:szCs w:val="24"/>
              </w:rPr>
              <w:t>The Integrity of the Artistic Image of the City Based on Symbolization (the Case of Modern Archit</w:t>
            </w:r>
            <w:r w:rsidR="00BB393E">
              <w:rPr>
                <w:rStyle w:val="rvts82"/>
                <w:iCs/>
                <w:sz w:val="24"/>
                <w:szCs w:val="24"/>
              </w:rPr>
              <w:t xml:space="preserve">ecture of Dnipro, Ukraine). </w:t>
            </w:r>
            <w:r w:rsidRPr="00BB393E">
              <w:rPr>
                <w:rStyle w:val="rvts82"/>
                <w:i/>
                <w:iCs/>
                <w:sz w:val="24"/>
                <w:szCs w:val="24"/>
              </w:rPr>
              <w:t>Civil Engineering and Architecture</w:t>
            </w:r>
            <w:r>
              <w:rPr>
                <w:rStyle w:val="rvts82"/>
                <w:iCs/>
                <w:sz w:val="24"/>
                <w:szCs w:val="24"/>
              </w:rPr>
              <w:t>. 2022. Vol. 10(3). P.</w:t>
            </w:r>
            <w:r w:rsidRPr="00D11234">
              <w:rPr>
                <w:rStyle w:val="rvts82"/>
                <w:iCs/>
                <w:sz w:val="24"/>
                <w:szCs w:val="24"/>
              </w:rPr>
              <w:t xml:space="preserve"> 874</w:t>
            </w:r>
            <w:r w:rsidR="00262AD7" w:rsidRPr="00262AD7">
              <w:rPr>
                <w:rStyle w:val="rvts82"/>
                <w:iCs/>
                <w:sz w:val="24"/>
                <w:szCs w:val="24"/>
              </w:rPr>
              <w:t>–</w:t>
            </w:r>
            <w:r w:rsidRPr="00D11234">
              <w:rPr>
                <w:rStyle w:val="rvts82"/>
                <w:iCs/>
                <w:sz w:val="24"/>
                <w:szCs w:val="24"/>
              </w:rPr>
              <w:t xml:space="preserve">887. (Scopus) </w:t>
            </w:r>
            <w:hyperlink r:id="rId25" w:history="1">
              <w:r w:rsidR="00BB393E" w:rsidRPr="00600010">
                <w:rPr>
                  <w:rStyle w:val="a3"/>
                  <w:iCs/>
                  <w:sz w:val="24"/>
                  <w:szCs w:val="24"/>
                </w:rPr>
                <w:t>https://doi.org/10.1318</w:t>
              </w:r>
              <w:r w:rsidR="00BB393E" w:rsidRPr="00600010">
                <w:rPr>
                  <w:rStyle w:val="a3"/>
                  <w:iCs/>
                  <w:sz w:val="24"/>
                  <w:szCs w:val="24"/>
                </w:rPr>
                <w:t>9</w:t>
              </w:r>
              <w:r w:rsidR="00BB393E" w:rsidRPr="00600010">
                <w:rPr>
                  <w:rStyle w:val="a3"/>
                  <w:iCs/>
                  <w:sz w:val="24"/>
                  <w:szCs w:val="24"/>
                </w:rPr>
                <w:t>/cea.2022.100310</w:t>
              </w:r>
            </w:hyperlink>
            <w:r w:rsidR="00262AD7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r w:rsidR="00BB393E" w:rsidRPr="00855E7F">
              <w:rPr>
                <w:rStyle w:val="rvts82"/>
                <w:iCs/>
                <w:sz w:val="24"/>
                <w:szCs w:val="24"/>
              </w:rPr>
              <w:t>URL</w:t>
            </w:r>
            <w:r w:rsidR="00BB393E" w:rsidRPr="00262AD7">
              <w:rPr>
                <w:rStyle w:val="rvts82"/>
                <w:iCs/>
                <w:sz w:val="24"/>
                <w:szCs w:val="24"/>
              </w:rPr>
              <w:t xml:space="preserve">: </w:t>
            </w:r>
            <w:r w:rsidR="00BB393E" w:rsidRPr="00262AD7">
              <w:t xml:space="preserve">     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https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://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www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.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hrpub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.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org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/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journals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/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article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_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info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.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php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?</w:t>
            </w:r>
            <w:r w:rsidR="00BB393E" w:rsidRPr="00BB393E">
              <w:rPr>
                <w:rStyle w:val="a3"/>
                <w:iCs/>
                <w:sz w:val="24"/>
                <w:szCs w:val="24"/>
              </w:rPr>
              <w:t>aid</w:t>
            </w:r>
            <w:r w:rsidR="00BB393E" w:rsidRPr="00262AD7">
              <w:rPr>
                <w:rStyle w:val="a3"/>
                <w:iCs/>
                <w:sz w:val="24"/>
                <w:szCs w:val="24"/>
              </w:rPr>
              <w:t>=</w:t>
            </w:r>
            <w:proofErr w:type="gramStart"/>
            <w:r w:rsidR="00BB393E" w:rsidRPr="00262AD7">
              <w:rPr>
                <w:rStyle w:val="a3"/>
                <w:iCs/>
                <w:sz w:val="24"/>
                <w:szCs w:val="24"/>
              </w:rPr>
              <w:t>11918</w:t>
            </w:r>
            <w:r w:rsidR="00BB393E" w:rsidRPr="00262AD7">
              <w:t xml:space="preserve">  </w:t>
            </w:r>
            <w:r w:rsidR="00BB393E" w:rsidRPr="00262AD7">
              <w:rPr>
                <w:rStyle w:val="rvts82"/>
                <w:iCs/>
                <w:sz w:val="24"/>
                <w:szCs w:val="24"/>
              </w:rPr>
              <w:t>(</w:t>
            </w:r>
            <w:proofErr w:type="gramEnd"/>
            <w:r w:rsidR="00BB393E" w:rsidRPr="00855E7F">
              <w:rPr>
                <w:rStyle w:val="rvts82"/>
                <w:iCs/>
                <w:sz w:val="24"/>
                <w:szCs w:val="24"/>
                <w:lang w:val="ru-RU"/>
              </w:rPr>
              <w:t>дата</w:t>
            </w:r>
            <w:r w:rsidR="00BB393E" w:rsidRPr="00262AD7">
              <w:rPr>
                <w:rStyle w:val="rvts82"/>
                <w:iCs/>
                <w:sz w:val="24"/>
                <w:szCs w:val="24"/>
              </w:rPr>
              <w:t xml:space="preserve"> </w:t>
            </w:r>
            <w:proofErr w:type="spellStart"/>
            <w:r w:rsidR="00BB393E" w:rsidRPr="00855E7F">
              <w:rPr>
                <w:rStyle w:val="rvts82"/>
                <w:iCs/>
                <w:sz w:val="24"/>
                <w:szCs w:val="24"/>
                <w:lang w:val="ru-RU"/>
              </w:rPr>
              <w:t>звернення</w:t>
            </w:r>
            <w:proofErr w:type="spellEnd"/>
            <w:r w:rsidR="00BB393E" w:rsidRPr="00262AD7">
              <w:rPr>
                <w:rStyle w:val="rvts82"/>
                <w:iCs/>
                <w:sz w:val="24"/>
                <w:szCs w:val="24"/>
              </w:rPr>
              <w:t xml:space="preserve"> 10.01.2025).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DC09EA" w:rsidRPr="00262AD7" w:rsidRDefault="00262AD7" w:rsidP="00262A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262AD7" w:rsidP="00262AD7">
            <w:pPr>
              <w:pStyle w:val="1"/>
              <w:ind w:left="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262AD7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A06D5D" w:rsidRPr="00A06D5D" w:rsidRDefault="00A06D5D" w:rsidP="00A06D5D">
            <w:pPr>
              <w:pStyle w:val="1"/>
              <w:numPr>
                <w:ilvl w:val="0"/>
                <w:numId w:val="6"/>
              </w:numPr>
              <w:ind w:right="145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A06D5D">
              <w:rPr>
                <w:sz w:val="24"/>
                <w:szCs w:val="24"/>
                <w:lang w:val="uk-UA"/>
              </w:rPr>
              <w:t>Теория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архитектуры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архитектурного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проектирования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архитектурная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типология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промышленных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зданий: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методические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указания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сост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>. Н.Ю.</w:t>
            </w:r>
            <w:r>
              <w:rPr>
                <w:sz w:val="24"/>
                <w:szCs w:val="24"/>
                <w:lang w:val="uk-UA"/>
              </w:rPr>
              <w:t> </w:t>
            </w:r>
            <w:r w:rsidRPr="00A06D5D">
              <w:rPr>
                <w:sz w:val="24"/>
                <w:szCs w:val="24"/>
                <w:lang w:val="uk-UA"/>
              </w:rPr>
              <w:t xml:space="preserve">Житкова, </w:t>
            </w:r>
            <w:r w:rsidRPr="00A06D5D">
              <w:rPr>
                <w:b/>
                <w:sz w:val="24"/>
                <w:szCs w:val="24"/>
                <w:lang w:val="uk-UA"/>
              </w:rPr>
              <w:t>И.В. Булах</w:t>
            </w:r>
            <w:r w:rsidRPr="00A06D5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>: КНУСА, 2021. 56 с.</w:t>
            </w:r>
          </w:p>
          <w:p w:rsidR="00A06D5D" w:rsidRPr="00A06D5D" w:rsidRDefault="00A06D5D" w:rsidP="00A06D5D">
            <w:pPr>
              <w:pStyle w:val="1"/>
              <w:numPr>
                <w:ilvl w:val="0"/>
                <w:numId w:val="6"/>
              </w:numPr>
              <w:ind w:right="145"/>
              <w:jc w:val="left"/>
              <w:rPr>
                <w:sz w:val="24"/>
                <w:szCs w:val="24"/>
                <w:lang w:val="uk-UA"/>
              </w:rPr>
            </w:pPr>
            <w:r w:rsidRPr="00A06D5D">
              <w:rPr>
                <w:sz w:val="24"/>
                <w:szCs w:val="24"/>
                <w:lang w:val="uk-UA"/>
              </w:rPr>
              <w:t>Естетика архітектурного середовища: методичні вказівки / уклад.: В.О.</w:t>
            </w:r>
            <w:r>
              <w:rPr>
                <w:sz w:val="24"/>
                <w:szCs w:val="24"/>
                <w:lang w:val="uk-UA"/>
              </w:rPr>
              <w:t> </w:t>
            </w:r>
            <w:proofErr w:type="spellStart"/>
            <w:r w:rsidRPr="00A06D5D">
              <w:rPr>
                <w:sz w:val="24"/>
                <w:szCs w:val="24"/>
                <w:lang w:val="uk-UA"/>
              </w:rPr>
              <w:t>Тімохін</w:t>
            </w:r>
            <w:proofErr w:type="spellEnd"/>
            <w:r w:rsidRPr="00A06D5D">
              <w:rPr>
                <w:sz w:val="24"/>
                <w:szCs w:val="24"/>
                <w:lang w:val="uk-UA"/>
              </w:rPr>
              <w:t xml:space="preserve">, </w:t>
            </w:r>
            <w:r w:rsidRPr="00A06D5D">
              <w:rPr>
                <w:b/>
                <w:sz w:val="24"/>
                <w:szCs w:val="24"/>
                <w:lang w:val="uk-UA"/>
              </w:rPr>
              <w:t>І.В. Булах</w:t>
            </w:r>
            <w:r w:rsidRPr="00A06D5D">
              <w:rPr>
                <w:sz w:val="24"/>
                <w:szCs w:val="24"/>
                <w:lang w:val="uk-UA"/>
              </w:rPr>
              <w:t>. Київ: КНУБА, 2021. 20 с.</w:t>
            </w:r>
          </w:p>
          <w:p w:rsidR="00703B3E" w:rsidRPr="00A06D5D" w:rsidRDefault="00A06D5D" w:rsidP="00A06D5D">
            <w:pPr>
              <w:numPr>
                <w:ilvl w:val="0"/>
                <w:numId w:val="6"/>
              </w:numPr>
              <w:spacing w:after="0" w:line="240" w:lineRule="auto"/>
              <w:ind w:right="145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Criticism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modern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architectural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theories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lecture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notes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V.O.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Timokhin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06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I.V. 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Bulakh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A06D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KNUCA, 2021. 92 p.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93860" w:rsidRDefault="00A06D5D" w:rsidP="00B9386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06D5D"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Захист дисертації на здобуття наукового ступеня доктора архітектури. </w:t>
            </w:r>
          </w:p>
          <w:p w:rsidR="00A06D5D" w:rsidRDefault="00B93860" w:rsidP="00B9386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Серія та номер диплома: </w:t>
            </w:r>
            <w:r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ДД № 011641.</w:t>
            </w:r>
          </w:p>
          <w:p w:rsidR="00B93860" w:rsidRDefault="00B93860" w:rsidP="00B9386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Шифр та назва спеціальності: </w:t>
            </w:r>
            <w:r w:rsidRPr="006A042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18.00.04 – "Містобудування та ландшафтна архітектура".</w:t>
            </w:r>
          </w:p>
          <w:p w:rsidR="00B93860" w:rsidRDefault="00B93860" w:rsidP="00B9386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Тема роботи: </w:t>
            </w:r>
            <w:r w:rsidR="00A06D5D" w:rsidRPr="006A042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Містобудівні основи територіально-просторового розвитку системи дитячих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лікувальних комплексів.</w:t>
            </w:r>
          </w:p>
          <w:p w:rsidR="00A06D5D" w:rsidRPr="00A06D5D" w:rsidRDefault="00B93860" w:rsidP="00B9386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Ким виданий документ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A06D5D" w:rsidRPr="006A042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МОН України, Київ, 2021.</w:t>
            </w:r>
          </w:p>
          <w:p w:rsidR="00F85FEE" w:rsidRPr="00F85FEE" w:rsidRDefault="00B93860" w:rsidP="00B9386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 w:rsidR="00F85FEE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ата видачі</w:t>
            </w: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A06D5D"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29 червня 2021 р.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D63B0B" w:rsidRPr="00D63B0B" w:rsidRDefault="00B93860" w:rsidP="00B9386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93860" w:rsidRPr="00763B87" w:rsidRDefault="00B93860" w:rsidP="00C0717B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743" w:right="145" w:hanging="426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Hlk84349542"/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Опонент у Разовій спеціалізованій вченій раді ДФ 35.052.061 з розгляду та проведення захисту дисертації «Принципи розвитку архітектурної типології медичних закладів в університетах України» </w:t>
            </w:r>
            <w:proofErr w:type="spellStart"/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Красильникова</w:t>
            </w:r>
            <w:proofErr w:type="spellEnd"/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Олега Володимировича, поданої на здобуття ступеня доктора філософії  з 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галузі знань 19 Архітектура та будівництво за спеціальністю 191 Архітектура та містобудування, Національний університет «Львівська політехніка» (18 травня 2021 року).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"https://lpnu.ua/rada-phd/df-35052061"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763B87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https://lpnu.u</w:t>
            </w:r>
            <w:r w:rsidRPr="00763B87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</w:t>
            </w:r>
            <w:r w:rsidRPr="00763B87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/rada-phd/df-35052061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B93860" w:rsidRPr="001B4FDA" w:rsidRDefault="00B93860" w:rsidP="00C0717B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743" w:right="145" w:hanging="426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uk-UA"/>
              </w:rPr>
            </w:pP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у  Разовій спеціалізованій вченій раді ДФ 26.056.021  з розгляду та проведення захисту дисертації  «Архітектурно-планувальна організація шкільних комплексів на територіях зі складним рельєфом України» </w:t>
            </w:r>
            <w:proofErr w:type="spellStart"/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Карбан</w:t>
            </w:r>
            <w:proofErr w:type="spellEnd"/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Анни Анатоліївни, поданої на здобуття ступеня доктора філософії з галузі знань 19 Архітектура та будівництво за спеціальністю 191 Архітектура та містобудування, Київський національний університет будівництва і архітектури (02 липня 2021 року). </w:t>
            </w:r>
          </w:p>
          <w:p w:rsidR="00B93860" w:rsidRDefault="00B93860" w:rsidP="00C0717B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743" w:right="145" w:hanging="426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у  Разовій спеціалізованій вченій раді </w:t>
            </w:r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ДФ 01 КНУБА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з розгляду та проведення захисту дисертації  «</w:t>
            </w:r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Семантичні архітектурні стереотипи громадського публічного простору міста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</w:t>
            </w:r>
            <w:proofErr w:type="spellStart"/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Головатюк</w:t>
            </w:r>
            <w:proofErr w:type="spellEnd"/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Аліни</w:t>
            </w:r>
            <w:proofErr w:type="spellEnd"/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Костянтинівни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поданої на здобуття ступеня доктора філософії з галузі знань 19 Архітектура та будівництво за спеціальністю 191 Архітектура та містобудування, Київський національний університет будівництва і архітектури (0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серпня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 року).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</w:instrText>
            </w:r>
            <w:r w:rsidR="00214BCD"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>https://www.knuba.edu.ua/df-01-191-arxitektura-ta-mistobuduvannya/</w:instrTex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" </w:instrTex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="00214BCD" w:rsidRPr="0060001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https://www.knuba.edu.ua/df-01-191-arxitektura-ta-mistobuduvannya/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B93860" w:rsidRDefault="00B93860" w:rsidP="00C0717B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743" w:right="145" w:hanging="426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у  Разовій спеціалізованій вченій раді </w:t>
            </w:r>
            <w:r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ДФ 03.191 </w:t>
            </w:r>
            <w:r w:rsidRPr="001B4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КНУБА</w:t>
            </w:r>
            <w:r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з розгляду та проведення захисту дисертації  </w:t>
            </w:r>
            <w:r w:rsidR="0039660A"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«Принципи архітектурно-планувальної організації закладів позашкільної освіти в структурі об’єднаних територіальних громад» </w: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Васильченко Дар’ї Костянтинівни, </w:t>
            </w:r>
            <w:r w:rsidR="0039660A"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поданої на здобуття ступеня доктора філософії з галузі знань 19 Архітектура та будівництво за спеціальністю 191 Архітектура та містобудування, Київський національний університет будівництва і архітектури</w:t>
            </w:r>
            <w:r w:rsidR="0039660A"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 грудня 2023 року</w: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</w:instrText>
            </w:r>
            <w:r w:rsidR="0039660A"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>https://www.knuba.edu.ua/df-03-191-arhitektura-ta-mistobuduvannya/</w:instrTex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" </w:instrTex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="0039660A" w:rsidRPr="0060001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https://www.knuba.edu.ua/df-03-191-arhitektura-ta-mis</w:t>
            </w:r>
            <w:r w:rsidR="0039660A" w:rsidRPr="0060001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</w:t>
            </w:r>
            <w:r w:rsidR="0039660A" w:rsidRPr="0060001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obuduvannya/</w:t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="0039660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703B3E" w:rsidRPr="00C0717B" w:rsidRDefault="0039660A" w:rsidP="00C0717B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743" w:right="145" w:hanging="426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у  Разовій спеціалізованій вченій раді </w:t>
            </w:r>
            <w:r w:rsidR="00214BCD"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ДФ 19.191</w:t>
            </w:r>
            <w:r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КНУБА  з розгляду та проведення захисту дисертації </w:t>
            </w:r>
            <w:r w:rsidR="00214BCD"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«Типологічні особливості архітектурно-планувальної організації підземних науково-дослідних комплексів в Україні»</w:t>
            </w:r>
            <w:r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Сало Валерії Володимирівни,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14BCD"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поданої на здобуття ступеня доктора філософії з галузі знань 19 Архітектура та будівництво за спеціальністю 191 Архітектура та містобудування, Київський </w:t>
            </w:r>
            <w:r w:rsidR="00214BCD" w:rsidRPr="00763B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національний університет будівництва і архітектури</w:t>
            </w:r>
            <w:r w:rsidR="00214BCD"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="00214BCD"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27 червня 2024 року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214BCD" w:rsidRPr="00B9386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</w:instrText>
            </w:r>
            <w:r w:rsidR="00214BCD" w:rsidRP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>https://www.knuba.edu.ua/df-19-191-arhitektura-ta-mistobuduvannya/</w:instrTex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" </w:instrTex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="00214BCD" w:rsidRPr="00600010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https://www.knuba.edu.ua/df-19-191-arhitektura-ta-mistobuduvannya/</w:t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="00214BC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0"/>
          </w:p>
        </w:tc>
      </w:tr>
      <w:tr w:rsidR="00703B3E" w:rsidRPr="00CB318B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редакційної колегії наукового фахового видання «Сучасні проблеми архітектури та містобудування», Київський національний університет будівництва і архітектури.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"http://archinform.knuba.edu.ua/e-board"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http://archinform.knuba.edu.ua/e-board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редакційної колегії наукового фахового видання «Містобудування та територіальне планування», Київський національний університет будівництва і архітектури.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"http://mtp.knuba.edu.ua/about/editorialTeam"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http://mtp.knuba.edu.ua/about/editorialTeam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редакційної колегії наукового видання «Регіональні проблемі архітектурі і містобудування», Одеська державна академія будівництва і архітектури.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"https://axi-pnam.com.ua/Home/EditoralBoard"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https://axi-pnam.com.ua/Home/EditoralBoard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редакційної колегії наукового видання «Архітектурний вісник КНУБА», Київський національний університет будівництва і архітектури.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"http://av.knuba.edu.ua/about/editorialTeam"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http://av.knuba.edu.ua/about/editorialTeam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редакційної колегії наукового видання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Інтернаука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(Україна).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"https://www.inter-nauka.com/magazine/multidisciplinarnyy-nauchnyy-zhurnal/editoria/"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https://www.inter-nauka.com/magazine/multidisciplinarnyy-nauchnyy-zhurnal/editoria/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редакційної колегії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іноземного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World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Science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(Польща).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"https://rsglobal.pl/index.php/ws/about/editorialTeam"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https://rsglobal.pl/index.php/ws/about/editorialTeam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редакційної колегії </w:t>
            </w:r>
            <w:r w:rsidRPr="005A4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іноземного наукового видання</w:t>
            </w: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Colloquium-journal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(Польща).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"https://colloquium-journal.org/en/editorial-teem/"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https://colloquium-journal.org/en/editorial-teem/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</w:t>
            </w:r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іноземного</w:t>
            </w:r>
            <w:proofErr w:type="spellEnd"/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Architecture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Civil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Engineering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Environment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(Польща) (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Web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Science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"https://acee-journal.pl/1,8,LIST_OF_REVIEWERS.html"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https://acee-journal.pl/1,8,LIST_OF_REVIEWERS.html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</w:t>
            </w:r>
            <w:r w:rsidRPr="005A4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іноземного наукового видання</w:t>
            </w: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Civil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Engineering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Architecture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(США) (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Scopus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lang w:val="uk-UA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"https://www.hrpub.org/journals/jour_reviewers.php?id=48"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https://www.hrpub.org/journals/jour_reviewers.php?id=48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  <w:p w:rsidR="00C0717B" w:rsidRPr="00F06D93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</w:t>
            </w:r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іноземного</w:t>
            </w:r>
            <w:proofErr w:type="spellEnd"/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Architectural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Engineering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Design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Management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Scopus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(Підтвердження у вигляді сертифікату).</w:t>
            </w:r>
          </w:p>
          <w:p w:rsidR="00703B3E" w:rsidRPr="00C0717B" w:rsidRDefault="00C0717B" w:rsidP="00C0717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743" w:hanging="426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 </w:t>
            </w:r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іноземного</w:t>
            </w:r>
            <w:proofErr w:type="spellEnd"/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5A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Journal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Asian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Architecture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Building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Engineering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</w:t>
            </w:r>
            <w:proofErr w:type="spellStart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Scopus</w:t>
            </w:r>
            <w:proofErr w:type="spellEnd"/>
            <w:r w:rsidRPr="00F06D9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(Підтвердження у вигляді сертифікату).</w:t>
            </w:r>
          </w:p>
        </w:tc>
      </w:tr>
      <w:tr w:rsidR="00703B3E" w:rsidRPr="005E2F90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5E2F90" w:rsidRDefault="005E2F90" w:rsidP="005E2F9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Експерт з експертизи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проєктів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наукових досліджень і науково-технічних (експериментальних) розробок, що подаються для участі у конкурсах, які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проводитиме Міністерство освіти і науки України, та звітів про їх виконання за тематичним напрямом «14. Технології будівництва, дизайн, архітектура». Наказ  Міністерства освіти і науки України від 12.12.2022 № 1111. </w:t>
            </w:r>
            <w: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"https://mon.gov.ua/ua/npa/pro-zatverdzhennya-spiskiv-ekspertiv-z-ekspertizi-proyektiv-naukovih-doslidzhen-i-naukovo-tehnichnih-eksperimentalnih-rozrobok-sho-podayutsya-dlya-uchasti-u-konkursah-yaki-provoditime-ministerstvo-osviti-i-nauki-ukrayini-ta-zvit"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https://mon.gov.ua/ua/npa/pro-zatverdzhennya-spiskiv-ekspertiv-z-ekspertizi-proyektiv-naukovih-doslidzhen-i-naukovo-tehnichnih-eksperimentalnih-rozrobok-sho-podayutsya-dlya-uchasti-u-konkursah-yaki-provoditime-ministerstvo-osviti-i-nauki-ukrayini-ta-zvit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5E2F90" w:rsidRPr="00451846" w:rsidRDefault="005E2F90" w:rsidP="005E2F90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International postgraduate internship “International projects: application, writing, management and reporting” from Central European Academy Studies and Certification (CEASC) and University of Social Sciences (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Сертифікат в електронному виді, </w:t>
            </w: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№ 2021/04/522). 2021.</w:t>
            </w:r>
          </w:p>
          <w:p w:rsidR="005E2F90" w:rsidRPr="00451846" w:rsidRDefault="005E2F90" w:rsidP="005E2F90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Cours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“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Polska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dla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początkujących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średnio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zaawansowanych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” (certificate from the Polish educational platform </w:t>
            </w:r>
            <w:proofErr w:type="spellStart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Navoica</w:t>
            </w:r>
            <w:proofErr w:type="spellEnd"/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on the completion of the course “Polish for elementary and intermediate levels through distance improvement of social and linguistic competences”).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(Сертифікат в електронному виді). </w:t>
            </w: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2021.</w:t>
            </w:r>
          </w:p>
          <w:p w:rsidR="005E2F90" w:rsidRDefault="005E2F90" w:rsidP="005E2F90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Future Talent Scholarship at TU Darmstadt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Darmstadt, Germany, 01.05.2022-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04</w:t>
            </w: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45184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(Підтвердження в електронному виді).</w:t>
            </w:r>
          </w:p>
          <w:p w:rsidR="00703B3E" w:rsidRPr="005E2F90" w:rsidRDefault="005E2F90" w:rsidP="005E2F90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Викладання на архітектурному факультеті в Технічному університеті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Дармштадта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(Німеччина) з зимового семестру 2022 року по теперішній час.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instrText xml:space="preserve"> HYPERLINK "https://www.stadt.architektur.tu-darmstadt.de/est/est_team/index.de.jsp"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separate"/>
            </w:r>
            <w:r w:rsidRPr="00233EA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https://www.stadt.architektur.tu-darmstadt.de/est/est_team/index.de.jsp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</w:p>
        </w:tc>
      </w:tr>
      <w:tr w:rsidR="00703B3E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936FA" w:rsidRDefault="005E2F90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5E2F90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5E2F90" w:rsidRDefault="005E2F90" w:rsidP="005E2F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Bulakh</w:t>
            </w:r>
            <w:proofErr w:type="spellEnd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I.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(2023): The Architecture of Medical Research Buildings and Complexes as the Basis of Sustainable Development. In: </w:t>
            </w:r>
            <w:proofErr w:type="gramStart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4th</w:t>
            </w:r>
            <w:proofErr w:type="gramEnd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International Symposium of Earth, Energy, Environmental Science, and Sustainable 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 xml:space="preserve">Development (JESSD 2023) (26.-27. August 2023, School of Environmental Science, University of Indonesia, Jakarta, Indonesia). </w:t>
            </w:r>
            <w:hyperlink r:id="rId26" w:history="1">
              <w:r w:rsidRPr="00233EA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https://symposiumjessd.ui.ac.id/speakers/</w:t>
              </w:r>
            </w:hyperlink>
          </w:p>
          <w:p w:rsidR="005E2F90" w:rsidRDefault="005E2F90" w:rsidP="005E2F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Bulakh</w:t>
            </w:r>
            <w:proofErr w:type="spellEnd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I.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(2023): Vectors of Sustainability of Modern Hospital Architecture (Case for Poland). In: </w:t>
            </w:r>
            <w:proofErr w:type="gramStart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4th</w:t>
            </w:r>
            <w:proofErr w:type="gramEnd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International Symposium of Earth, Energy, Environmental Science, and Sustainable Development (JESSD 2023) (26.-27. August 2023, School of Environmental Science, University of Indonesia, Jakarta, Indonesia). </w:t>
            </w:r>
            <w:hyperlink r:id="rId27" w:history="1">
              <w:r w:rsidRPr="00233EA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https://symposiumjessd.ui.ac.id/speakers/</w:t>
              </w:r>
            </w:hyperlink>
          </w:p>
          <w:p w:rsidR="005E2F90" w:rsidRDefault="005E2F90" w:rsidP="005E2F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Bulakh</w:t>
            </w:r>
            <w:proofErr w:type="spellEnd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I.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(2022): Ecological Park - a Step </w:t>
            </w:r>
            <w:proofErr w:type="gramStart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Towards</w:t>
            </w:r>
            <w:proofErr w:type="gramEnd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Sustainable Development. In: Euro-Mediterranean Conference for Environmental Integration (EMCEI-22) (01 – 04. November 2022, Sousse, Tunisia). </w:t>
            </w:r>
            <w:hyperlink r:id="rId28" w:history="1">
              <w:r w:rsidRPr="00233EA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https://emcei.net/2022/</w:t>
              </w:r>
            </w:hyperlink>
          </w:p>
          <w:p w:rsidR="005E2F90" w:rsidRPr="005E2F90" w:rsidRDefault="005E2F90" w:rsidP="005E2F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777" w:hanging="417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Bulakh</w:t>
            </w:r>
            <w:proofErr w:type="spellEnd"/>
            <w:r w:rsidRPr="006C543F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I.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(2022): Sustainable Development in the Context of the Architecture of Environmental Friendly Medical Centers in Rural Areas (Case for Ukraine). In: </w:t>
            </w:r>
            <w:proofErr w:type="gramStart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3th</w:t>
            </w:r>
            <w:proofErr w:type="gramEnd"/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International Symposium of Earth, Energy, Environmental Science, and Sustainable Development (JESSD 2022) (29. August 2023, School of Environmental Science, University of Indonesia, Jakarta, Indonesia). </w:t>
            </w:r>
            <w:hyperlink r:id="rId29" w:history="1">
              <w:r w:rsidRPr="00233EA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https://symposiumjessd2022.ui.ac.id/</w:t>
              </w:r>
            </w:hyperlink>
          </w:p>
          <w:p w:rsidR="00E46C28" w:rsidRPr="005E2F90" w:rsidRDefault="005E2F90" w:rsidP="005E2F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777" w:hanging="417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5E2F90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Bulakh</w:t>
            </w:r>
            <w:proofErr w:type="spellEnd"/>
            <w:r w:rsidRPr="005E2F90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I.</w:t>
            </w:r>
            <w:r w:rsidRPr="005E2F9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(2022): Integration of Nature into the Architecture of Hospital Complexes. In: International Conference on Environment and Human Health: Challenges and Opportunities in the 21st Century (18.-19. August 2022, Hong Kong Baptist University, </w:t>
            </w:r>
            <w:proofErr w:type="spellStart"/>
            <w:r w:rsidRPr="005E2F9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Hongkong</w:t>
            </w:r>
            <w:proofErr w:type="spellEnd"/>
            <w:r w:rsidRPr="005E2F9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China). </w:t>
            </w:r>
            <w:hyperlink r:id="rId30" w:history="1">
              <w:r w:rsidRPr="005E2F90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https://airtable.com/shr8xRu6PWvJujc6E/tblA43553XrWoZgVr</w:t>
              </w:r>
            </w:hyperlink>
          </w:p>
        </w:tc>
      </w:tr>
      <w:tr w:rsidR="00703B3E" w:rsidRPr="00B74200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5E2F90" w:rsidRDefault="005E2F90" w:rsidP="005E2F9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Викладання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німецькою та англійською мовами 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 архітектурному факультеті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Технічного університету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Дармштадта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6C54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Німеччина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):</w:t>
            </w:r>
          </w:p>
          <w:p w:rsidR="005E2F90" w:rsidRPr="005A4E94" w:rsidRDefault="005E2F90" w:rsidP="005E2F90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Seminar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Storytelling</w:t>
            </w:r>
            <w:proofErr w:type="spellEnd"/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Walls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Erz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hlende</w:t>
            </w:r>
            <w:proofErr w:type="spellEnd"/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W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nde</w:t>
            </w:r>
            <w:proofErr w:type="spellEnd"/>
            <w:r w:rsid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"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ЕСТ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</w:t>
            </w:r>
            <w:r w:rsid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зимовий семестр 2022 р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5E2F90" w:rsidRPr="005A4E94" w:rsidRDefault="005E2F90" w:rsidP="005E2F90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Blockseminar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Storytelling</w:t>
            </w:r>
            <w:proofErr w:type="spellEnd"/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Walls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 //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Erz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hlende</w:t>
            </w:r>
            <w:proofErr w:type="spellEnd"/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W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ä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nde</w:t>
            </w:r>
            <w:proofErr w:type="spellEnd"/>
            <w:r w:rsid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2"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ЕСТ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</w:t>
            </w:r>
            <w:r w:rsid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літній семестр 2023 р.</w:t>
            </w:r>
          </w:p>
          <w:p w:rsidR="00B74200" w:rsidRDefault="00B74200" w:rsidP="00B74200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Seminar</w:t>
            </w:r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 xml:space="preserve"> "Street Art </w:t>
            </w:r>
            <w:proofErr w:type="spellStart"/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to</w:t>
            </w:r>
            <w:proofErr w:type="spellEnd"/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proofErr w:type="spellStart"/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Inspire</w:t>
            </w:r>
            <w:proofErr w:type="spellEnd"/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proofErr w:type="spellStart"/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Children</w:t>
            </w:r>
            <w:proofErr w:type="spellEnd"/>
            <w:r w:rsidR="005E2F90"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 xml:space="preserve"> // Street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Art, um Kinder zu inspirieren"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ЕСТ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), літній семестр 2023 р.</w:t>
            </w:r>
          </w:p>
          <w:p w:rsidR="00B74200" w:rsidRDefault="00B74200" w:rsidP="00B74200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Entwurf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Gesundheitsarchitektur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Inklusives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Wohnen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Healthcare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Architecture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Inclusive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Housing</w:t>
            </w:r>
            <w:proofErr w:type="spellEnd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ЕСТ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зимовий семестр 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703B3E" w:rsidRDefault="00B74200" w:rsidP="00B74200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77" w:hanging="4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lastRenderedPageBreak/>
              <w:t>Seminar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Erzählende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Wände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Street-Art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&amp;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Architektur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"(3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ЕСТ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), літній семестр 202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р.</w:t>
            </w:r>
          </w:p>
          <w:p w:rsidR="00B74200" w:rsidRDefault="00B74200" w:rsidP="00B74200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43" w:hanging="3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Forschungsmodul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Kunst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als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Kommunikation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der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partizipativen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Stadtgestaltung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літній семестр 2024 р.</w:t>
            </w:r>
          </w:p>
          <w:p w:rsidR="00B74200" w:rsidRDefault="00B74200" w:rsidP="00434A9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43" w:hanging="3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Seminar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Gesundheitsarchitektur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Arztpraxis_könnte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es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besser</w:t>
            </w:r>
            <w:proofErr w:type="spellEnd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2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sein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"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ЕСТ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), зимовий семестр 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B74200" w:rsidRDefault="00B74200" w:rsidP="00434A9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743" w:hanging="426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Seminar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"</w:t>
            </w:r>
            <w:proofErr w:type="spellStart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Erzählende</w:t>
            </w:r>
            <w:proofErr w:type="spellEnd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Wände_Kunst</w:t>
            </w:r>
            <w:proofErr w:type="spellEnd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für</w:t>
            </w:r>
            <w:proofErr w:type="spellEnd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434A98"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Kinderkrankenhäuser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"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 </w:t>
            </w:r>
            <w:proofErr w:type="spellStart"/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Credits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ЕСТ</w:t>
            </w:r>
            <w:r w:rsidRPr="00C815D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S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), зимовий семестр 2024 р</w:t>
            </w:r>
            <w:r w:rsidRPr="005A4E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C12A3" w:rsidRPr="00B74200" w:rsidRDefault="000C12A3" w:rsidP="000C12A3">
            <w:pPr>
              <w:pStyle w:val="aa"/>
              <w:spacing w:after="0" w:line="240" w:lineRule="auto"/>
              <w:ind w:left="74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31" w:history="1">
              <w:r w:rsidRPr="00233EA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https://www.stadt.architektur.tu-darmstadt.de/est/est_team/index.de.jsp</w:t>
              </w:r>
            </w:hyperlink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434A98" w:rsidRPr="00795269" w:rsidRDefault="00434A98" w:rsidP="00434A9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681" w:hanging="284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952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Керівництво 4 студентами, які зайняли призове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lang w:val="uk-UA"/>
              </w:rPr>
              <w:t xml:space="preserve">а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269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lang w:val="uk-UA"/>
              </w:rPr>
              <w:t>о</w:t>
            </w:r>
            <w:r w:rsidRPr="007952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952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студентських наукових робіт у 2022 році.</w:t>
            </w:r>
          </w:p>
          <w:p w:rsidR="00434A98" w:rsidRPr="00E248AB" w:rsidRDefault="00434A98" w:rsidP="00434A9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681" w:hanging="284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9526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Організація, проведення</w:t>
            </w:r>
            <w:r w:rsidRPr="00E248A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участь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 </w:t>
            </w:r>
            <w:r w:rsidRPr="00E248A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благодійних </w:t>
            </w:r>
            <w:proofErr w:type="spellStart"/>
            <w:r w:rsidRPr="00E248A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ах</w:t>
            </w:r>
            <w:proofErr w:type="spellEnd"/>
            <w:r w:rsidRPr="00E248A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студентів архітектурного факультету КНУБА з розпису дитячої лікарні ОХМАТДИТ в м. Києві (2016-2021 рр.).</w:t>
            </w:r>
          </w:p>
          <w:p w:rsidR="00434A98" w:rsidRDefault="00434A98" w:rsidP="00434A9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681" w:hanging="284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248A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Організація і проведення Конкурсу студентського малюнку "Джерело натхнення" (2020, 2021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79526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2022</w:t>
            </w:r>
            <w:r w:rsidRPr="00E248A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р.).</w:t>
            </w:r>
          </w:p>
          <w:p w:rsidR="00703B3E" w:rsidRPr="00434A98" w:rsidRDefault="00434A98" w:rsidP="00434A98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681" w:hanging="284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34A9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Організація і проведення Конкурсу дитячого малюнку "Чарівний світ" (2020, 2021 р.).</w:t>
            </w:r>
            <w:bookmarkStart w:id="1" w:name="_GoBack"/>
            <w:bookmarkEnd w:id="1"/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434A9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434A9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434A9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</w:tbl>
    <w:p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 w:rsidR="00434A98" w:rsidRPr="00434A98">
        <w:rPr>
          <w:rFonts w:ascii="Times New Roman" w:hAnsi="Times New Roman" w:cs="Times New Roman"/>
          <w:sz w:val="28"/>
          <w:szCs w:val="28"/>
          <w:u w:val="single"/>
          <w:lang w:val="uk-UA"/>
        </w:rPr>
        <w:t>11.01.2025</w:t>
      </w:r>
    </w:p>
    <w:p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3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33" w:rsidRDefault="00700A33" w:rsidP="0065335E">
      <w:pPr>
        <w:spacing w:after="0" w:line="240" w:lineRule="auto"/>
      </w:pPr>
      <w:r>
        <w:separator/>
      </w:r>
    </w:p>
  </w:endnote>
  <w:endnote w:type="continuationSeparator" w:id="0">
    <w:p w:rsidR="00700A33" w:rsidRDefault="00700A33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33" w:rsidRDefault="00700A33" w:rsidP="0065335E">
      <w:pPr>
        <w:spacing w:after="0" w:line="240" w:lineRule="auto"/>
      </w:pPr>
      <w:r>
        <w:separator/>
      </w:r>
    </w:p>
  </w:footnote>
  <w:footnote w:type="continuationSeparator" w:id="0">
    <w:p w:rsidR="00700A33" w:rsidRDefault="00700A33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418894"/>
      <w:docPartObj>
        <w:docPartGallery w:val="Page Numbers (Top of Page)"/>
        <w:docPartUnique/>
      </w:docPartObj>
    </w:sdtPr>
    <w:sdtContent>
      <w:p w:rsidR="005E2F90" w:rsidRDefault="005E2F90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2A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2F90" w:rsidRDefault="005E2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0062"/>
    <w:multiLevelType w:val="hybridMultilevel"/>
    <w:tmpl w:val="AEAEDCB8"/>
    <w:lvl w:ilvl="0" w:tplc="BE44D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205C2D0E"/>
    <w:multiLevelType w:val="hybridMultilevel"/>
    <w:tmpl w:val="6A86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2C42"/>
    <w:multiLevelType w:val="hybridMultilevel"/>
    <w:tmpl w:val="4D066EBC"/>
    <w:lvl w:ilvl="0" w:tplc="A8C41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776C"/>
    <w:multiLevelType w:val="hybridMultilevel"/>
    <w:tmpl w:val="5424439E"/>
    <w:lvl w:ilvl="0" w:tplc="8522DA46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31F"/>
    <w:multiLevelType w:val="hybridMultilevel"/>
    <w:tmpl w:val="1FE8884E"/>
    <w:lvl w:ilvl="0" w:tplc="A8C41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79A0"/>
    <w:multiLevelType w:val="hybridMultilevel"/>
    <w:tmpl w:val="718C6520"/>
    <w:lvl w:ilvl="0" w:tplc="BE44D634">
      <w:start w:val="1"/>
      <w:numFmt w:val="decimal"/>
      <w:lvlText w:val="%1."/>
      <w:lvlJc w:val="left"/>
      <w:pPr>
        <w:ind w:left="1462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37" w:hanging="360"/>
      </w:pPr>
    </w:lvl>
    <w:lvl w:ilvl="2" w:tplc="2000001B" w:tentative="1">
      <w:start w:val="1"/>
      <w:numFmt w:val="lowerRoman"/>
      <w:lvlText w:val="%3."/>
      <w:lvlJc w:val="right"/>
      <w:pPr>
        <w:ind w:left="2557" w:hanging="180"/>
      </w:pPr>
    </w:lvl>
    <w:lvl w:ilvl="3" w:tplc="2000000F" w:tentative="1">
      <w:start w:val="1"/>
      <w:numFmt w:val="decimal"/>
      <w:lvlText w:val="%4."/>
      <w:lvlJc w:val="left"/>
      <w:pPr>
        <w:ind w:left="3277" w:hanging="360"/>
      </w:pPr>
    </w:lvl>
    <w:lvl w:ilvl="4" w:tplc="20000019" w:tentative="1">
      <w:start w:val="1"/>
      <w:numFmt w:val="lowerLetter"/>
      <w:lvlText w:val="%5."/>
      <w:lvlJc w:val="left"/>
      <w:pPr>
        <w:ind w:left="3997" w:hanging="360"/>
      </w:pPr>
    </w:lvl>
    <w:lvl w:ilvl="5" w:tplc="2000001B" w:tentative="1">
      <w:start w:val="1"/>
      <w:numFmt w:val="lowerRoman"/>
      <w:lvlText w:val="%6."/>
      <w:lvlJc w:val="right"/>
      <w:pPr>
        <w:ind w:left="4717" w:hanging="180"/>
      </w:pPr>
    </w:lvl>
    <w:lvl w:ilvl="6" w:tplc="2000000F" w:tentative="1">
      <w:start w:val="1"/>
      <w:numFmt w:val="decimal"/>
      <w:lvlText w:val="%7."/>
      <w:lvlJc w:val="left"/>
      <w:pPr>
        <w:ind w:left="5437" w:hanging="360"/>
      </w:pPr>
    </w:lvl>
    <w:lvl w:ilvl="7" w:tplc="20000019" w:tentative="1">
      <w:start w:val="1"/>
      <w:numFmt w:val="lowerLetter"/>
      <w:lvlText w:val="%8."/>
      <w:lvlJc w:val="left"/>
      <w:pPr>
        <w:ind w:left="6157" w:hanging="360"/>
      </w:pPr>
    </w:lvl>
    <w:lvl w:ilvl="8" w:tplc="200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036E2"/>
    <w:multiLevelType w:val="hybridMultilevel"/>
    <w:tmpl w:val="7916BEA8"/>
    <w:lvl w:ilvl="0" w:tplc="478AD1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7B51"/>
    <w:multiLevelType w:val="hybridMultilevel"/>
    <w:tmpl w:val="460A7788"/>
    <w:lvl w:ilvl="0" w:tplc="A8C41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B2377"/>
    <w:multiLevelType w:val="hybridMultilevel"/>
    <w:tmpl w:val="85942354"/>
    <w:lvl w:ilvl="0" w:tplc="A8C41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619CB"/>
    <w:multiLevelType w:val="hybridMultilevel"/>
    <w:tmpl w:val="51EEB198"/>
    <w:lvl w:ilvl="0" w:tplc="BE44D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D6DC9"/>
    <w:multiLevelType w:val="hybridMultilevel"/>
    <w:tmpl w:val="DFA69440"/>
    <w:lvl w:ilvl="0" w:tplc="478AD1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1F9B"/>
    <w:multiLevelType w:val="hybridMultilevel"/>
    <w:tmpl w:val="AEAEDCB8"/>
    <w:lvl w:ilvl="0" w:tplc="BE44D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7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6"/>
  </w:num>
  <w:num w:numId="15">
    <w:abstractNumId w:val="8"/>
  </w:num>
  <w:num w:numId="16">
    <w:abstractNumId w:val="15"/>
  </w:num>
  <w:num w:numId="17">
    <w:abstractNumId w:val="14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747E"/>
    <w:rsid w:val="000443DA"/>
    <w:rsid w:val="0005681B"/>
    <w:rsid w:val="000941BE"/>
    <w:rsid w:val="000A5298"/>
    <w:rsid w:val="000C12A3"/>
    <w:rsid w:val="000D1230"/>
    <w:rsid w:val="00101B58"/>
    <w:rsid w:val="00124C1D"/>
    <w:rsid w:val="00150CDF"/>
    <w:rsid w:val="00172B00"/>
    <w:rsid w:val="00177598"/>
    <w:rsid w:val="001D58E4"/>
    <w:rsid w:val="001E20C0"/>
    <w:rsid w:val="00213C6C"/>
    <w:rsid w:val="00214BCD"/>
    <w:rsid w:val="00243D68"/>
    <w:rsid w:val="002470DA"/>
    <w:rsid w:val="00262AD7"/>
    <w:rsid w:val="002A72ED"/>
    <w:rsid w:val="003861AE"/>
    <w:rsid w:val="0039660A"/>
    <w:rsid w:val="003F5D52"/>
    <w:rsid w:val="004262E1"/>
    <w:rsid w:val="00434A98"/>
    <w:rsid w:val="00466A5C"/>
    <w:rsid w:val="004A130C"/>
    <w:rsid w:val="005513CB"/>
    <w:rsid w:val="00583780"/>
    <w:rsid w:val="00595150"/>
    <w:rsid w:val="005C7699"/>
    <w:rsid w:val="005E2F90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0A33"/>
    <w:rsid w:val="00703B3E"/>
    <w:rsid w:val="007043D3"/>
    <w:rsid w:val="00735606"/>
    <w:rsid w:val="0074175F"/>
    <w:rsid w:val="00776D83"/>
    <w:rsid w:val="00787C85"/>
    <w:rsid w:val="007B3D23"/>
    <w:rsid w:val="007C4680"/>
    <w:rsid w:val="007E252D"/>
    <w:rsid w:val="008005C0"/>
    <w:rsid w:val="0081765F"/>
    <w:rsid w:val="00817ACF"/>
    <w:rsid w:val="00855E7F"/>
    <w:rsid w:val="008C5762"/>
    <w:rsid w:val="008E46E4"/>
    <w:rsid w:val="008F2A72"/>
    <w:rsid w:val="0092340D"/>
    <w:rsid w:val="0093579B"/>
    <w:rsid w:val="00941BD6"/>
    <w:rsid w:val="00984B12"/>
    <w:rsid w:val="009A4D29"/>
    <w:rsid w:val="00A06D5D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74200"/>
    <w:rsid w:val="00B93860"/>
    <w:rsid w:val="00BB1785"/>
    <w:rsid w:val="00BB3895"/>
    <w:rsid w:val="00BB393E"/>
    <w:rsid w:val="00BF4F55"/>
    <w:rsid w:val="00C0717B"/>
    <w:rsid w:val="00C6363F"/>
    <w:rsid w:val="00C84368"/>
    <w:rsid w:val="00CA5426"/>
    <w:rsid w:val="00CB2731"/>
    <w:rsid w:val="00CB318B"/>
    <w:rsid w:val="00CD58E1"/>
    <w:rsid w:val="00D06C79"/>
    <w:rsid w:val="00D11234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82D8E"/>
    <w:rsid w:val="00EC2708"/>
    <w:rsid w:val="00ED3707"/>
    <w:rsid w:val="00F4299A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941B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63/5.0122749" TargetMode="External"/><Relationship Id="rId18" Type="http://schemas.openxmlformats.org/officeDocument/2006/relationships/hyperlink" Target="https://iopscience.iop.org/article/10.1088/1755-1315/1275/1/012042" TargetMode="External"/><Relationship Id="rId26" Type="http://schemas.openxmlformats.org/officeDocument/2006/relationships/hyperlink" Target="https://symposiumjessd.ui.ac.id/speak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3189/cea.2022.1007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1007/978-3-031-51904-8_133" TargetMode="External"/><Relationship Id="rId12" Type="http://schemas.openxmlformats.org/officeDocument/2006/relationships/hyperlink" Target="https://pubs.aip.org/aip/acp/article/2490/1/070002/2928302/Ecological-transformation-of-industrial-regions" TargetMode="External"/><Relationship Id="rId17" Type="http://schemas.openxmlformats.org/officeDocument/2006/relationships/hyperlink" Target="https://doi.org/10.1088/1755-1315/1275/1/012042" TargetMode="External"/><Relationship Id="rId25" Type="http://schemas.openxmlformats.org/officeDocument/2006/relationships/hyperlink" Target="https://doi.org/10.13189/cea.2022.10031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rpub.org/journals/article_info.php?aid=13017" TargetMode="External"/><Relationship Id="rId20" Type="http://schemas.openxmlformats.org/officeDocument/2006/relationships/hyperlink" Target="https://iopscience.iop.org/article/10.1088/1755-1315/1111/1/012066" TargetMode="External"/><Relationship Id="rId29" Type="http://schemas.openxmlformats.org/officeDocument/2006/relationships/hyperlink" Target="https://symposiumjessd2022.ui.ac.i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63/5.0122860" TargetMode="External"/><Relationship Id="rId24" Type="http://schemas.openxmlformats.org/officeDocument/2006/relationships/hyperlink" Target="https://www.hrpub.org/journals/article_info.php?aid=12193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3189/cea.2023.110311" TargetMode="External"/><Relationship Id="rId23" Type="http://schemas.openxmlformats.org/officeDocument/2006/relationships/hyperlink" Target="https://doi.org/10.13189/cea.2022.100511" TargetMode="External"/><Relationship Id="rId28" Type="http://schemas.openxmlformats.org/officeDocument/2006/relationships/hyperlink" Target="https://emcei.net/2022/" TargetMode="External"/><Relationship Id="rId10" Type="http://schemas.openxmlformats.org/officeDocument/2006/relationships/hyperlink" Target="https://pubs.aip.org/aip/acp/article/2490/1/060007/2928279/The-use-of-various-materials-in-the-formation-of" TargetMode="External"/><Relationship Id="rId19" Type="http://schemas.openxmlformats.org/officeDocument/2006/relationships/hyperlink" Target="https://doi.org/10.1088/1755-1315/1111/1/012066" TargetMode="External"/><Relationship Id="rId31" Type="http://schemas.openxmlformats.org/officeDocument/2006/relationships/hyperlink" Target="https://www.stadt.architektur.tu-darmstadt.de/est/est_team/index.de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5.0122747" TargetMode="External"/><Relationship Id="rId14" Type="http://schemas.openxmlformats.org/officeDocument/2006/relationships/hyperlink" Target="https://pubs.aip.org/aip/acp/article/2490/1/060006/2928252/Principles-and-techniques-of-architectural-and" TargetMode="External"/><Relationship Id="rId22" Type="http://schemas.openxmlformats.org/officeDocument/2006/relationships/hyperlink" Target="https://www.hrpub.org/journals/article_info.php?aid=12567" TargetMode="External"/><Relationship Id="rId27" Type="http://schemas.openxmlformats.org/officeDocument/2006/relationships/hyperlink" Target="https://symposiumjessd.ui.ac.id/speakers/" TargetMode="External"/><Relationship Id="rId30" Type="http://schemas.openxmlformats.org/officeDocument/2006/relationships/hyperlink" Target="https://airtable.com/shr8xRu6PWvJujc6E/tblA43553XrWoZgVr" TargetMode="External"/><Relationship Id="rId8" Type="http://schemas.openxmlformats.org/officeDocument/2006/relationships/hyperlink" Target="https://link.springer.com/chapter/10.1007/978-3-031-51904-8_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Admin</cp:lastModifiedBy>
  <cp:revision>7</cp:revision>
  <dcterms:created xsi:type="dcterms:W3CDTF">2025-01-10T19:00:00Z</dcterms:created>
  <dcterms:modified xsi:type="dcterms:W3CDTF">2025-01-11T15:32:00Z</dcterms:modified>
</cp:coreProperties>
</file>